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BA" w:rsidRDefault="00E141BA" w:rsidP="00E141BA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-387178</wp:posOffset>
            </wp:positionH>
            <wp:positionV relativeFrom="paragraph">
              <wp:posOffset>-634314</wp:posOffset>
            </wp:positionV>
            <wp:extent cx="6516129" cy="1555392"/>
            <wp:effectExtent l="0" t="0" r="0" b="6985"/>
            <wp:wrapNone/>
            <wp:docPr id="1" name="Picture 1" descr="Memo Sindikat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 Sindikat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29" cy="155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1BA" w:rsidRDefault="00E141BA" w:rsidP="00E141BA">
      <w:pPr>
        <w:jc w:val="center"/>
        <w:rPr>
          <w:rFonts w:ascii="Arial" w:hAnsi="Arial" w:cs="Arial"/>
          <w:b/>
          <w:sz w:val="24"/>
          <w:szCs w:val="24"/>
        </w:rPr>
      </w:pPr>
    </w:p>
    <w:p w:rsidR="00E141BA" w:rsidRDefault="00E141BA" w:rsidP="00E141BA">
      <w:pPr>
        <w:jc w:val="center"/>
        <w:rPr>
          <w:rFonts w:ascii="Arial" w:hAnsi="Arial" w:cs="Arial"/>
          <w:b/>
          <w:sz w:val="24"/>
          <w:szCs w:val="24"/>
        </w:rPr>
      </w:pPr>
    </w:p>
    <w:p w:rsidR="00E141BA" w:rsidRDefault="00E141BA" w:rsidP="00E141BA">
      <w:pPr>
        <w:jc w:val="center"/>
        <w:rPr>
          <w:rFonts w:ascii="Arial" w:hAnsi="Arial" w:cs="Arial"/>
          <w:b/>
          <w:sz w:val="24"/>
          <w:szCs w:val="24"/>
        </w:rPr>
      </w:pPr>
      <w:r w:rsidRPr="004B1E9C">
        <w:rPr>
          <w:rFonts w:ascii="Arial" w:hAnsi="Arial" w:cs="Arial"/>
          <w:b/>
          <w:sz w:val="24"/>
          <w:szCs w:val="24"/>
        </w:rPr>
        <w:t>ODBOR</w:t>
      </w:r>
      <w:r>
        <w:rPr>
          <w:rFonts w:ascii="Arial" w:hAnsi="Arial" w:cs="Arial"/>
          <w:b/>
          <w:sz w:val="24"/>
          <w:szCs w:val="24"/>
        </w:rPr>
        <w:t>A</w:t>
      </w:r>
      <w:r w:rsidRPr="004B1E9C">
        <w:rPr>
          <w:rFonts w:ascii="Arial" w:hAnsi="Arial" w:cs="Arial"/>
          <w:b/>
          <w:sz w:val="24"/>
          <w:szCs w:val="24"/>
        </w:rPr>
        <w:t xml:space="preserve"> ZA PRAĆENJE, PRIMJENU I TUMAČENJE GRANSKOG KOLEKTIVNOG UGOVORA ZA OBLAST UPRAVE I PRAVOSUĐA</w:t>
      </w:r>
    </w:p>
    <w:p w:rsidR="00E763C0" w:rsidRDefault="00E763C0" w:rsidP="00E141BA">
      <w:pPr>
        <w:jc w:val="center"/>
        <w:rPr>
          <w:rFonts w:ascii="Arial" w:hAnsi="Arial" w:cs="Arial"/>
          <w:b/>
          <w:sz w:val="24"/>
          <w:szCs w:val="24"/>
        </w:rPr>
      </w:pPr>
    </w:p>
    <w:p w:rsidR="00E141BA" w:rsidRDefault="00E141BA" w:rsidP="00E763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Broj:</w:t>
      </w:r>
      <w:r w:rsidR="002760C3">
        <w:rPr>
          <w:rFonts w:ascii="Arial" w:hAnsi="Arial" w:cs="Arial"/>
          <w:b/>
          <w:sz w:val="24"/>
          <w:szCs w:val="24"/>
        </w:rPr>
        <w:t>1/23</w:t>
      </w:r>
    </w:p>
    <w:p w:rsidR="00E141BA" w:rsidRDefault="00E141BA" w:rsidP="00E763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Podgorica, 04.</w:t>
      </w:r>
      <w:r w:rsidR="00E73A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aprila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2023. </w:t>
      </w:r>
      <w:proofErr w:type="spellStart"/>
      <w:r>
        <w:rPr>
          <w:rFonts w:ascii="Arial" w:hAnsi="Arial" w:cs="Arial"/>
          <w:b/>
          <w:sz w:val="24"/>
          <w:szCs w:val="24"/>
        </w:rPr>
        <w:t>godine</w:t>
      </w:r>
      <w:proofErr w:type="spellEnd"/>
    </w:p>
    <w:p w:rsidR="00E141BA" w:rsidRDefault="00E141BA" w:rsidP="00E141BA">
      <w:pPr>
        <w:rPr>
          <w:rFonts w:ascii="Arial" w:hAnsi="Arial" w:cs="Arial"/>
          <w:b/>
          <w:sz w:val="24"/>
          <w:szCs w:val="24"/>
        </w:rPr>
      </w:pPr>
    </w:p>
    <w:p w:rsidR="00E141BA" w:rsidRDefault="00E141BA" w:rsidP="00E14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TUMAČENJA</w:t>
      </w:r>
    </w:p>
    <w:p w:rsidR="00E141BA" w:rsidRDefault="00E141BA" w:rsidP="00E14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ČLANA 2 GRANSKOG KOLEKTIVNOG UGOVORA ZA OBLAST UPRAVE I PRAVOSUĐA CRNE GORE (PRIMJENA)</w:t>
      </w:r>
    </w:p>
    <w:p w:rsidR="005F0EE2" w:rsidRDefault="005F0EE2" w:rsidP="00E14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14BA" w:rsidRPr="004314BA" w:rsidRDefault="004314BA" w:rsidP="004314BA">
      <w:pPr>
        <w:pStyle w:val="T30X"/>
        <w:numPr>
          <w:ilvl w:val="0"/>
          <w:numId w:val="2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Granski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kolektivni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ugovor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za oblast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uprave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pravosuđa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ne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primjenjuje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se</w:t>
      </w:r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na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privredna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društva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čiji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je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osnivač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država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ili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lokalna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samouprava</w:t>
      </w:r>
      <w:proofErr w:type="spellEnd"/>
      <w:r w:rsidRPr="004314BA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4314BA" w:rsidRPr="0008606F" w:rsidRDefault="004314BA" w:rsidP="004314BA">
      <w:pPr>
        <w:pStyle w:val="T30X"/>
        <w:ind w:left="1080" w:firstLine="0"/>
        <w:rPr>
          <w:rFonts w:ascii="Arial" w:hAnsi="Arial" w:cs="Arial"/>
          <w:sz w:val="24"/>
          <w:szCs w:val="24"/>
          <w:shd w:val="clear" w:color="auto" w:fill="FFFFFF"/>
        </w:rPr>
      </w:pPr>
    </w:p>
    <w:p w:rsidR="00E141BA" w:rsidRPr="0008606F" w:rsidRDefault="00E141BA" w:rsidP="004314BA">
      <w:pPr>
        <w:pStyle w:val="T30X"/>
        <w:ind w:left="1080" w:firstLine="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8606F">
        <w:rPr>
          <w:rFonts w:ascii="Arial" w:hAnsi="Arial" w:cs="Arial"/>
          <w:sz w:val="24"/>
          <w:szCs w:val="24"/>
        </w:rPr>
        <w:t>Kod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činjenice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08606F">
        <w:rPr>
          <w:rFonts w:ascii="Arial" w:hAnsi="Arial" w:cs="Arial"/>
          <w:sz w:val="24"/>
          <w:szCs w:val="24"/>
        </w:rPr>
        <w:t>članom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8606F">
        <w:rPr>
          <w:rFonts w:ascii="Arial" w:hAnsi="Arial" w:cs="Arial"/>
          <w:sz w:val="24"/>
          <w:szCs w:val="24"/>
        </w:rPr>
        <w:t>Granskog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kolektivnog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ugovora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="00E73A85">
        <w:rPr>
          <w:rFonts w:ascii="Arial" w:hAnsi="Arial" w:cs="Arial"/>
          <w:sz w:val="24"/>
          <w:szCs w:val="24"/>
        </w:rPr>
        <w:t>uprave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5">
        <w:rPr>
          <w:rFonts w:ascii="Arial" w:hAnsi="Arial" w:cs="Arial"/>
          <w:sz w:val="24"/>
          <w:szCs w:val="24"/>
        </w:rPr>
        <w:t>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A85">
        <w:rPr>
          <w:rFonts w:ascii="Arial" w:hAnsi="Arial" w:cs="Arial"/>
          <w:sz w:val="24"/>
          <w:szCs w:val="24"/>
        </w:rPr>
        <w:t>pravosuđa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propisano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08606F">
        <w:rPr>
          <w:rFonts w:ascii="Arial" w:hAnsi="Arial" w:cs="Arial"/>
          <w:sz w:val="24"/>
          <w:szCs w:val="24"/>
        </w:rPr>
        <w:t>odredbe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ovog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Ugovora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primjenjuju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na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zaposlene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8606F">
        <w:rPr>
          <w:rFonts w:ascii="Arial" w:hAnsi="Arial" w:cs="Arial"/>
          <w:sz w:val="24"/>
          <w:szCs w:val="24"/>
        </w:rPr>
        <w:t>ministarstvima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organima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uprave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službama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Predsjednika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Crne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08606F">
        <w:rPr>
          <w:rFonts w:ascii="Arial" w:hAnsi="Arial" w:cs="Arial"/>
          <w:sz w:val="24"/>
          <w:szCs w:val="24"/>
        </w:rPr>
        <w:t>Skupštine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Crne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08606F">
        <w:rPr>
          <w:rFonts w:ascii="Arial" w:hAnsi="Arial" w:cs="Arial"/>
          <w:sz w:val="24"/>
          <w:szCs w:val="24"/>
        </w:rPr>
        <w:t>Vlade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Ustavnog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suda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Crne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08606F">
        <w:rPr>
          <w:rFonts w:ascii="Arial" w:hAnsi="Arial" w:cs="Arial"/>
          <w:sz w:val="24"/>
          <w:szCs w:val="24"/>
        </w:rPr>
        <w:t>sudovima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Državnom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tužilaštvu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Sudskom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savjetu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Tužilačkom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savjetu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organima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lokalne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samouprave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organima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službama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lokalne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uprave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fondovima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zavodima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agencijama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komisijama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javnim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ustanovama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institucijama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čiji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8606F">
        <w:rPr>
          <w:rFonts w:ascii="Arial" w:hAnsi="Arial" w:cs="Arial"/>
          <w:sz w:val="24"/>
          <w:szCs w:val="24"/>
        </w:rPr>
        <w:t>osnivač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država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ili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lokalna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samouprava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8606F">
        <w:rPr>
          <w:rFonts w:ascii="Arial" w:hAnsi="Arial" w:cs="Arial"/>
          <w:sz w:val="24"/>
          <w:szCs w:val="24"/>
        </w:rPr>
        <w:t>na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koje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8606F">
        <w:rPr>
          <w:rFonts w:ascii="Arial" w:hAnsi="Arial" w:cs="Arial"/>
          <w:sz w:val="24"/>
          <w:szCs w:val="24"/>
        </w:rPr>
        <w:t>neposredno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08606F">
        <w:rPr>
          <w:rFonts w:ascii="Arial" w:hAnsi="Arial" w:cs="Arial"/>
          <w:sz w:val="24"/>
          <w:szCs w:val="24"/>
        </w:rPr>
        <w:t>primjenju</w:t>
      </w:r>
      <w:r w:rsidR="004E798D" w:rsidRPr="0008606F">
        <w:rPr>
          <w:rFonts w:ascii="Arial" w:hAnsi="Arial" w:cs="Arial"/>
          <w:sz w:val="24"/>
          <w:szCs w:val="24"/>
        </w:rPr>
        <w:t>ju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odredbe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drugog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granskog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kolektivnog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</w:rPr>
        <w:t>ugovora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06F">
        <w:rPr>
          <w:rFonts w:ascii="Arial" w:hAnsi="Arial" w:cs="Arial"/>
          <w:sz w:val="24"/>
          <w:szCs w:val="24"/>
        </w:rPr>
        <w:t>dok</w:t>
      </w:r>
      <w:proofErr w:type="spellEnd"/>
      <w:r w:rsidRPr="0008606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8606F">
        <w:rPr>
          <w:rFonts w:ascii="Arial" w:hAnsi="Arial" w:cs="Arial"/>
          <w:sz w:val="24"/>
          <w:szCs w:val="24"/>
        </w:rPr>
        <w:t>članom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 184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stav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 2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tačka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 2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propisano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 da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granski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kolektivni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ugovor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606F">
        <w:rPr>
          <w:rFonts w:ascii="Arial" w:hAnsi="Arial" w:cs="Arial"/>
          <w:sz w:val="24"/>
          <w:szCs w:val="24"/>
          <w:shd w:val="clear" w:color="auto" w:fill="FFFFFF"/>
        </w:rPr>
        <w:t>za</w:t>
      </w:r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privredna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čiji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osnivač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ili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većinski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vlasnik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država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zaključuje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nadležni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 organ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reprezentativnog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udruženja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poslodavaca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nadležni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 organ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reprezentativne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organizacije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sindikata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Vlada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>, a za</w:t>
      </w:r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druga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privredna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reprezentativna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organizacija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sindikata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osnivač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, to je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nesporno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 da se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Granski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kolektivni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ugovor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za oblast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uprave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E798D" w:rsidRPr="0008606F">
        <w:rPr>
          <w:rFonts w:ascii="Arial" w:hAnsi="Arial" w:cs="Arial"/>
          <w:sz w:val="24"/>
          <w:szCs w:val="24"/>
          <w:shd w:val="clear" w:color="auto" w:fill="FFFFFF"/>
        </w:rPr>
        <w:t>pravosuđa</w:t>
      </w:r>
      <w:proofErr w:type="spellEnd"/>
      <w:r w:rsidR="004E798D"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 ne </w:t>
      </w:r>
      <w:proofErr w:type="spellStart"/>
      <w:r w:rsidR="004E798D" w:rsidRPr="0008606F">
        <w:rPr>
          <w:rFonts w:ascii="Arial" w:hAnsi="Arial" w:cs="Arial"/>
          <w:sz w:val="24"/>
          <w:szCs w:val="24"/>
          <w:shd w:val="clear" w:color="auto" w:fill="FFFFFF"/>
        </w:rPr>
        <w:t>primjenjuje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E798D" w:rsidRPr="0008606F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privredna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čiji</w:t>
      </w:r>
      <w:proofErr w:type="spellEnd"/>
      <w:r w:rsidRPr="0008606F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osnivač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država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ili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lokalna</w:t>
      </w:r>
      <w:proofErr w:type="spellEnd"/>
      <w:r w:rsidR="00E73A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606F">
        <w:rPr>
          <w:rFonts w:ascii="Arial" w:hAnsi="Arial" w:cs="Arial"/>
          <w:sz w:val="24"/>
          <w:szCs w:val="24"/>
          <w:shd w:val="clear" w:color="auto" w:fill="FFFFFF"/>
        </w:rPr>
        <w:t>samouprava</w:t>
      </w:r>
      <w:proofErr w:type="spellEnd"/>
      <w:r w:rsidR="00FE5EA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141BA" w:rsidRPr="00E141BA" w:rsidRDefault="00E141BA" w:rsidP="00175DC1">
      <w:pPr>
        <w:pStyle w:val="T30X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p w:rsidR="004314BA" w:rsidRPr="004314BA" w:rsidRDefault="004314BA" w:rsidP="004314BA">
      <w:pPr>
        <w:pStyle w:val="ListParagraph"/>
        <w:numPr>
          <w:ilvl w:val="0"/>
          <w:numId w:val="2"/>
        </w:numPr>
        <w:ind w:right="-90"/>
        <w:jc w:val="both"/>
        <w:rPr>
          <w:rFonts w:ascii="Arial" w:hAnsi="Arial" w:cs="Arial"/>
          <w:sz w:val="24"/>
          <w:szCs w:val="24"/>
        </w:rPr>
      </w:pPr>
      <w:proofErr w:type="spellStart"/>
      <w:r w:rsidRPr="004314BA">
        <w:rPr>
          <w:rFonts w:ascii="Arial" w:hAnsi="Arial" w:cs="Arial"/>
          <w:b/>
          <w:sz w:val="24"/>
          <w:szCs w:val="24"/>
        </w:rPr>
        <w:t>Granski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kolektivni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ugovor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za oblast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uprave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i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pravosuđa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ne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primjenjuje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agencije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organizacije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javne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ustanove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čiji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osnivač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država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ili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lokalna</w:t>
      </w:r>
      <w:proofErr w:type="spellEnd"/>
      <w:r w:rsidRPr="0043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4BA">
        <w:rPr>
          <w:rFonts w:ascii="Arial" w:hAnsi="Arial" w:cs="Arial"/>
          <w:b/>
          <w:sz w:val="24"/>
          <w:szCs w:val="24"/>
        </w:rPr>
        <w:t>samouprava</w:t>
      </w:r>
      <w:proofErr w:type="spellEnd"/>
      <w:r w:rsidRPr="004314BA">
        <w:rPr>
          <w:rFonts w:ascii="Arial" w:hAnsi="Arial" w:cs="Arial"/>
          <w:sz w:val="24"/>
          <w:szCs w:val="24"/>
        </w:rPr>
        <w:t>.</w:t>
      </w:r>
    </w:p>
    <w:p w:rsidR="00E141BA" w:rsidRDefault="004314BA" w:rsidP="004314BA">
      <w:pPr>
        <w:pStyle w:val="T30X"/>
        <w:ind w:left="108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Naime</w:t>
      </w:r>
      <w:proofErr w:type="spellEnd"/>
      <w:r>
        <w:rPr>
          <w:rFonts w:ascii="Arial" w:hAnsi="Arial" w:cs="Arial"/>
          <w:sz w:val="24"/>
          <w:szCs w:val="24"/>
        </w:rPr>
        <w:t>, t</w:t>
      </w:r>
      <w:r w:rsidR="00D851E4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D851E4">
        <w:rPr>
          <w:rFonts w:ascii="Arial" w:hAnsi="Arial" w:cs="Arial"/>
          <w:sz w:val="24"/>
          <w:szCs w:val="24"/>
        </w:rPr>
        <w:t>što</w:t>
      </w:r>
      <w:proofErr w:type="spellEnd"/>
      <w:r w:rsidR="00E141BA" w:rsidRPr="0008606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članom</w:t>
      </w:r>
      <w:proofErr w:type="spellEnd"/>
      <w:r w:rsidR="00E141BA" w:rsidRPr="0008606F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Granskog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kolektivnog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ugovora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="00D851E4">
        <w:rPr>
          <w:rFonts w:ascii="Arial" w:hAnsi="Arial" w:cs="Arial"/>
          <w:sz w:val="24"/>
          <w:szCs w:val="24"/>
        </w:rPr>
        <w:t>uprave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i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pravosuđa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propisano</w:t>
      </w:r>
      <w:proofErr w:type="spellEnd"/>
      <w:r w:rsidR="00E141BA" w:rsidRPr="0008606F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odredbe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tog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Ugovora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primjenjuju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na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zaposlene</w:t>
      </w:r>
      <w:proofErr w:type="spellEnd"/>
      <w:r w:rsidR="00E141BA" w:rsidRPr="0008606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ministarstvima</w:t>
      </w:r>
      <w:proofErr w:type="spellEnd"/>
      <w:r w:rsidR="00E141BA"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organima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uprave</w:t>
      </w:r>
      <w:proofErr w:type="spellEnd"/>
      <w:r w:rsidR="00E141BA" w:rsidRPr="0008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službama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Predsjednika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Crne</w:t>
      </w:r>
      <w:proofErr w:type="spellEnd"/>
      <w:r w:rsidR="00E141BA" w:rsidRPr="0008606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Skupštine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Crne</w:t>
      </w:r>
      <w:proofErr w:type="spellEnd"/>
      <w:r w:rsidR="00E141BA" w:rsidRPr="0008606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Vlade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08606F">
        <w:rPr>
          <w:rFonts w:ascii="Arial" w:hAnsi="Arial" w:cs="Arial"/>
          <w:sz w:val="24"/>
          <w:szCs w:val="24"/>
        </w:rPr>
        <w:t>Ustavnog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suda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Crne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lastRenderedPageBreak/>
        <w:t>sudovima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Državnom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tužilaštvu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Sudskom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savjetu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Tužilačkom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savjetu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organima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lokalne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samouprave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organima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službama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lokalne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uprave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fondovima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zavodima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agencijama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komisijama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javnim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ustanovama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institucijama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čiji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osnivač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država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ili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lokalna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samouprava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na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koje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neposredno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primjenjuju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odredbe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drugog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granskog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kolektivnog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ugovora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znači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isti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3B">
        <w:rPr>
          <w:rFonts w:ascii="Arial" w:hAnsi="Arial" w:cs="Arial"/>
          <w:sz w:val="24"/>
          <w:szCs w:val="24"/>
        </w:rPr>
        <w:t>bezuslovno</w:t>
      </w:r>
      <w:proofErr w:type="spellEnd"/>
      <w:r w:rsidR="00711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3B">
        <w:rPr>
          <w:rFonts w:ascii="Arial" w:hAnsi="Arial" w:cs="Arial"/>
          <w:sz w:val="24"/>
          <w:szCs w:val="24"/>
        </w:rPr>
        <w:t>primjenjuje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na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sve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pobrojane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3B">
        <w:rPr>
          <w:rFonts w:ascii="Arial" w:hAnsi="Arial" w:cs="Arial"/>
          <w:sz w:val="24"/>
          <w:szCs w:val="24"/>
        </w:rPr>
        <w:t>subjekte</w:t>
      </w:r>
      <w:proofErr w:type="spellEnd"/>
      <w:r w:rsidR="00711E3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11E3B">
        <w:rPr>
          <w:rFonts w:ascii="Arial" w:hAnsi="Arial" w:cs="Arial"/>
          <w:sz w:val="24"/>
          <w:szCs w:val="24"/>
        </w:rPr>
        <w:t>Naprotiv</w:t>
      </w:r>
      <w:proofErr w:type="spellEnd"/>
      <w:r w:rsidR="00711E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1E3B">
        <w:rPr>
          <w:rFonts w:ascii="Arial" w:hAnsi="Arial" w:cs="Arial"/>
          <w:sz w:val="24"/>
          <w:szCs w:val="24"/>
        </w:rPr>
        <w:t>isti</w:t>
      </w:r>
      <w:proofErr w:type="spellEnd"/>
      <w:r w:rsidR="00711E3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11E3B">
        <w:rPr>
          <w:rFonts w:ascii="Arial" w:hAnsi="Arial" w:cs="Arial"/>
          <w:sz w:val="24"/>
          <w:szCs w:val="24"/>
        </w:rPr>
        <w:t>primjenjuje</w:t>
      </w:r>
      <w:proofErr w:type="spellEnd"/>
      <w:r w:rsidR="00711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3B">
        <w:rPr>
          <w:rFonts w:ascii="Arial" w:hAnsi="Arial" w:cs="Arial"/>
          <w:sz w:val="24"/>
          <w:szCs w:val="24"/>
        </w:rPr>
        <w:t>isključivo</w:t>
      </w:r>
      <w:proofErr w:type="spellEnd"/>
      <w:r w:rsidR="00711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3B">
        <w:rPr>
          <w:rFonts w:ascii="Arial" w:hAnsi="Arial" w:cs="Arial"/>
          <w:sz w:val="24"/>
          <w:szCs w:val="24"/>
        </w:rPr>
        <w:t>na</w:t>
      </w:r>
      <w:proofErr w:type="spellEnd"/>
      <w:r w:rsidR="00711E3B">
        <w:rPr>
          <w:rFonts w:ascii="Arial" w:hAnsi="Arial" w:cs="Arial"/>
          <w:sz w:val="24"/>
          <w:szCs w:val="24"/>
        </w:rPr>
        <w:t xml:space="preserve"> one </w:t>
      </w:r>
      <w:proofErr w:type="spellStart"/>
      <w:r w:rsidR="00711E3B">
        <w:rPr>
          <w:rFonts w:ascii="Arial" w:hAnsi="Arial" w:cs="Arial"/>
          <w:sz w:val="24"/>
          <w:szCs w:val="24"/>
        </w:rPr>
        <w:t>subjekte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koji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pripradaju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5DC1">
        <w:rPr>
          <w:rFonts w:ascii="Arial" w:hAnsi="Arial" w:cs="Arial"/>
          <w:sz w:val="24"/>
          <w:szCs w:val="24"/>
        </w:rPr>
        <w:t>grani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5DC1">
        <w:rPr>
          <w:rFonts w:ascii="Arial" w:hAnsi="Arial" w:cs="Arial"/>
          <w:sz w:val="24"/>
          <w:szCs w:val="24"/>
        </w:rPr>
        <w:t>uprave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5DC1">
        <w:rPr>
          <w:rFonts w:ascii="Arial" w:hAnsi="Arial" w:cs="Arial"/>
          <w:sz w:val="24"/>
          <w:szCs w:val="24"/>
        </w:rPr>
        <w:t>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smislu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5019">
        <w:rPr>
          <w:rFonts w:ascii="Arial" w:hAnsi="Arial" w:cs="Arial"/>
          <w:sz w:val="24"/>
          <w:szCs w:val="24"/>
        </w:rPr>
        <w:t xml:space="preserve">184 </w:t>
      </w:r>
      <w:proofErr w:type="spellStart"/>
      <w:r w:rsidR="002A5019">
        <w:rPr>
          <w:rFonts w:ascii="Arial" w:hAnsi="Arial" w:cs="Arial"/>
          <w:sz w:val="24"/>
          <w:szCs w:val="24"/>
        </w:rPr>
        <w:t>stav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2A5019">
        <w:rPr>
          <w:rFonts w:ascii="Arial" w:hAnsi="Arial" w:cs="Arial"/>
          <w:sz w:val="24"/>
          <w:szCs w:val="24"/>
        </w:rPr>
        <w:t>tačka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2A5019">
        <w:rPr>
          <w:rFonts w:ascii="Arial" w:hAnsi="Arial" w:cs="Arial"/>
          <w:sz w:val="24"/>
          <w:szCs w:val="24"/>
        </w:rPr>
        <w:t>Zakona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A5019">
        <w:rPr>
          <w:rFonts w:ascii="Arial" w:hAnsi="Arial" w:cs="Arial"/>
          <w:sz w:val="24"/>
          <w:szCs w:val="24"/>
        </w:rPr>
        <w:t>radu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851E4">
        <w:rPr>
          <w:rFonts w:ascii="Arial" w:hAnsi="Arial" w:cs="Arial"/>
          <w:sz w:val="24"/>
          <w:szCs w:val="24"/>
        </w:rPr>
        <w:t>Izuzetno</w:t>
      </w:r>
      <w:proofErr w:type="spellEnd"/>
      <w:r w:rsidR="00D851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zbog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mogućih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izuzetaka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organizacionom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smislu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kroz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član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2  </w:t>
      </w:r>
      <w:proofErr w:type="spellStart"/>
      <w:r w:rsidR="00D851E4">
        <w:rPr>
          <w:rFonts w:ascii="Arial" w:hAnsi="Arial" w:cs="Arial"/>
          <w:sz w:val="24"/>
          <w:szCs w:val="24"/>
        </w:rPr>
        <w:t>Granskog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kolektivnog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ugovora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="00D851E4">
        <w:rPr>
          <w:rFonts w:ascii="Arial" w:hAnsi="Arial" w:cs="Arial"/>
          <w:sz w:val="24"/>
          <w:szCs w:val="24"/>
        </w:rPr>
        <w:t>uprave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i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pravosuđa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5019">
        <w:rPr>
          <w:rFonts w:ascii="Arial" w:hAnsi="Arial" w:cs="Arial"/>
          <w:sz w:val="24"/>
          <w:szCs w:val="24"/>
        </w:rPr>
        <w:t>ugovorne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strane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su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ostavile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ogućnost</w:t>
      </w:r>
      <w:proofErr w:type="spellEnd"/>
      <w:r>
        <w:rPr>
          <w:rFonts w:ascii="Arial" w:hAnsi="Arial" w:cs="Arial"/>
          <w:sz w:val="24"/>
          <w:szCs w:val="24"/>
        </w:rPr>
        <w:t xml:space="preserve"> da se </w:t>
      </w:r>
      <w:proofErr w:type="spellStart"/>
      <w:r>
        <w:rPr>
          <w:rFonts w:ascii="Arial" w:hAnsi="Arial" w:cs="Arial"/>
          <w:sz w:val="24"/>
          <w:szCs w:val="24"/>
        </w:rPr>
        <w:t>isti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eventualno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primijeniti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na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neke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subjekte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3B">
        <w:rPr>
          <w:rFonts w:ascii="Arial" w:hAnsi="Arial" w:cs="Arial"/>
          <w:sz w:val="24"/>
          <w:szCs w:val="24"/>
        </w:rPr>
        <w:t>koji</w:t>
      </w:r>
      <w:proofErr w:type="spellEnd"/>
      <w:r w:rsidR="00711E3B">
        <w:rPr>
          <w:rFonts w:ascii="Arial" w:hAnsi="Arial" w:cs="Arial"/>
          <w:sz w:val="24"/>
          <w:szCs w:val="24"/>
        </w:rPr>
        <w:t xml:space="preserve"> se</w:t>
      </w:r>
      <w:r w:rsidR="00E141BA" w:rsidRPr="00E141B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skladu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svojim</w:t>
      </w:r>
      <w:proofErr w:type="spellEnd"/>
      <w:r w:rsidR="00D8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specifičnostima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r w:rsidR="00711E3B">
        <w:rPr>
          <w:rFonts w:ascii="Arial" w:hAnsi="Arial" w:cs="Arial"/>
          <w:sz w:val="24"/>
          <w:szCs w:val="24"/>
        </w:rPr>
        <w:t>ne</w:t>
      </w:r>
      <w:r w:rsidR="00D851E4">
        <w:rPr>
          <w:rFonts w:ascii="Arial" w:hAnsi="Arial" w:cs="Arial"/>
          <w:sz w:val="24"/>
          <w:szCs w:val="24"/>
        </w:rPr>
        <w:t xml:space="preserve"> bi</w:t>
      </w:r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1E4">
        <w:rPr>
          <w:rFonts w:ascii="Arial" w:hAnsi="Arial" w:cs="Arial"/>
          <w:sz w:val="24"/>
          <w:szCs w:val="24"/>
        </w:rPr>
        <w:t>mogli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svrstati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drugu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98D">
        <w:rPr>
          <w:rFonts w:ascii="Arial" w:hAnsi="Arial" w:cs="Arial"/>
          <w:sz w:val="24"/>
          <w:szCs w:val="24"/>
        </w:rPr>
        <w:t>granu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djelatnost</w:t>
      </w:r>
      <w:r w:rsidR="004E798D">
        <w:rPr>
          <w:rFonts w:ascii="Arial" w:hAnsi="Arial" w:cs="Arial"/>
          <w:sz w:val="24"/>
          <w:szCs w:val="24"/>
        </w:rPr>
        <w:t>i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smislu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člana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 184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Zakona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radu</w:t>
      </w:r>
      <w:proofErr w:type="spellEnd"/>
      <w:r w:rsidR="00E141BA" w:rsidRPr="00E141B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na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iste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r w:rsidR="00D851E4">
        <w:rPr>
          <w:rFonts w:ascii="Arial" w:hAnsi="Arial" w:cs="Arial"/>
          <w:sz w:val="24"/>
          <w:szCs w:val="24"/>
        </w:rPr>
        <w:t>bi</w:t>
      </w:r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98D">
        <w:rPr>
          <w:rFonts w:ascii="Arial" w:hAnsi="Arial" w:cs="Arial"/>
          <w:sz w:val="24"/>
          <w:szCs w:val="24"/>
        </w:rPr>
        <w:t>istovremeno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r w:rsidR="00D851E4">
        <w:rPr>
          <w:rFonts w:ascii="Arial" w:hAnsi="Arial" w:cs="Arial"/>
          <w:sz w:val="24"/>
          <w:szCs w:val="24"/>
        </w:rPr>
        <w:t>bile</w:t>
      </w:r>
      <w:r w:rsidR="00711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primjenjive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odredbe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Granskog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kolektivnog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ugovora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r w:rsidR="00E141BA" w:rsidRPr="00E141BA">
        <w:rPr>
          <w:rFonts w:ascii="Arial" w:hAnsi="Arial" w:cs="Arial"/>
          <w:sz w:val="24"/>
          <w:szCs w:val="24"/>
        </w:rPr>
        <w:t xml:space="preserve">za oblast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uprave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sz w:val="24"/>
          <w:szCs w:val="24"/>
        </w:rPr>
        <w:t>i</w:t>
      </w:r>
      <w:proofErr w:type="spellEnd"/>
      <w:r w:rsidR="00E7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pravosuđa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5019">
        <w:rPr>
          <w:rFonts w:ascii="Arial" w:hAnsi="Arial" w:cs="Arial"/>
          <w:sz w:val="24"/>
          <w:szCs w:val="24"/>
        </w:rPr>
        <w:t>pri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čemu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A5019">
        <w:rPr>
          <w:rFonts w:ascii="Arial" w:hAnsi="Arial" w:cs="Arial"/>
          <w:sz w:val="24"/>
          <w:szCs w:val="24"/>
        </w:rPr>
        <w:t>mogućnost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takvih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slučajeva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A5019">
        <w:rPr>
          <w:rFonts w:ascii="Arial" w:hAnsi="Arial" w:cs="Arial"/>
          <w:sz w:val="24"/>
          <w:szCs w:val="24"/>
        </w:rPr>
        <w:t>praksi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svedena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na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minimum </w:t>
      </w:r>
      <w:proofErr w:type="spellStart"/>
      <w:r w:rsidR="002A5019">
        <w:rPr>
          <w:rFonts w:ascii="Arial" w:hAnsi="Arial" w:cs="Arial"/>
          <w:sz w:val="24"/>
          <w:szCs w:val="24"/>
        </w:rPr>
        <w:t>i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svakako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da ne </w:t>
      </w:r>
      <w:proofErr w:type="spellStart"/>
      <w:r w:rsidR="002A5019">
        <w:rPr>
          <w:rFonts w:ascii="Arial" w:hAnsi="Arial" w:cs="Arial"/>
          <w:sz w:val="24"/>
          <w:szCs w:val="24"/>
        </w:rPr>
        <w:t>daje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prostor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A5019">
        <w:rPr>
          <w:rFonts w:ascii="Arial" w:hAnsi="Arial" w:cs="Arial"/>
          <w:sz w:val="24"/>
          <w:szCs w:val="24"/>
        </w:rPr>
        <w:t>drugačije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i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šire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tumačenje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primjene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Granskog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kolektivnog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ugovora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="002A5019">
        <w:rPr>
          <w:rFonts w:ascii="Arial" w:hAnsi="Arial" w:cs="Arial"/>
          <w:sz w:val="24"/>
          <w:szCs w:val="24"/>
        </w:rPr>
        <w:t>uprave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i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pravosuđa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Cijeneći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navedeno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imajući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vidu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184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i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ograničenu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primjenjivost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odredaba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Granskog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kolektivnog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ugovora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="002A5019">
        <w:rPr>
          <w:rFonts w:ascii="Arial" w:hAnsi="Arial" w:cs="Arial"/>
          <w:sz w:val="24"/>
          <w:szCs w:val="24"/>
        </w:rPr>
        <w:t>uprave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i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pravosuđa</w:t>
      </w:r>
      <w:proofErr w:type="spellEnd"/>
      <w:r w:rsidR="002A50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kao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trenutnu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uređenost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djelatnosti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agencija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organizacija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nesporno</w:t>
      </w:r>
      <w:proofErr w:type="spellEnd"/>
      <w:r>
        <w:rPr>
          <w:rFonts w:ascii="Arial" w:hAnsi="Arial" w:cs="Arial"/>
          <w:sz w:val="24"/>
          <w:szCs w:val="24"/>
        </w:rPr>
        <w:t xml:space="preserve"> je da 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primjenjuje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kolektivni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</w:t>
      </w:r>
      <w:proofErr w:type="spellEnd"/>
      <w:r>
        <w:rPr>
          <w:rFonts w:ascii="Arial" w:hAnsi="Arial" w:cs="Arial"/>
          <w:sz w:val="24"/>
          <w:szCs w:val="24"/>
        </w:rPr>
        <w:t xml:space="preserve"> za oblast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5019">
        <w:rPr>
          <w:rFonts w:ascii="Arial" w:hAnsi="Arial" w:cs="Arial"/>
          <w:sz w:val="24"/>
          <w:szCs w:val="24"/>
        </w:rPr>
        <w:t>niti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iste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, po </w:t>
      </w:r>
      <w:proofErr w:type="spellStart"/>
      <w:r w:rsidR="002A5019">
        <w:rPr>
          <w:rFonts w:ascii="Arial" w:hAnsi="Arial" w:cs="Arial"/>
          <w:sz w:val="24"/>
          <w:szCs w:val="24"/>
        </w:rPr>
        <w:t>pravilu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5019">
        <w:rPr>
          <w:rFonts w:ascii="Arial" w:hAnsi="Arial" w:cs="Arial"/>
          <w:sz w:val="24"/>
          <w:szCs w:val="24"/>
        </w:rPr>
        <w:t>predstavljaju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navedene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izuzetke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A5019">
        <w:rPr>
          <w:rFonts w:ascii="Arial" w:hAnsi="Arial" w:cs="Arial"/>
          <w:sz w:val="24"/>
          <w:szCs w:val="24"/>
        </w:rPr>
        <w:t>pogledu</w:t>
      </w:r>
      <w:proofErr w:type="spellEnd"/>
      <w:r w:rsidR="002A5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019">
        <w:rPr>
          <w:rFonts w:ascii="Arial" w:hAnsi="Arial" w:cs="Arial"/>
          <w:sz w:val="24"/>
          <w:szCs w:val="24"/>
        </w:rPr>
        <w:t>primjene</w:t>
      </w:r>
      <w:proofErr w:type="spellEnd"/>
      <w:r w:rsidR="002A5019">
        <w:rPr>
          <w:rFonts w:ascii="Arial" w:hAnsi="Arial" w:cs="Arial"/>
          <w:sz w:val="24"/>
          <w:szCs w:val="24"/>
        </w:rPr>
        <w:t>.</w:t>
      </w:r>
    </w:p>
    <w:p w:rsidR="004314BA" w:rsidRPr="00E141BA" w:rsidRDefault="004314BA" w:rsidP="002A5019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E141BA" w:rsidRPr="00E141BA" w:rsidRDefault="00E141BA" w:rsidP="00E141B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E141BA" w:rsidRPr="00E141BA" w:rsidRDefault="00711E3B" w:rsidP="00E141BA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E141BA" w:rsidRPr="00E141BA">
        <w:rPr>
          <w:rFonts w:ascii="Arial" w:hAnsi="Arial" w:cs="Arial"/>
          <w:b/>
          <w:sz w:val="24"/>
          <w:szCs w:val="24"/>
        </w:rPr>
        <w:t>PREDSJEDNIK ODBORA</w:t>
      </w:r>
    </w:p>
    <w:p w:rsidR="00687292" w:rsidRPr="00E141BA" w:rsidRDefault="00711E3B" w:rsidP="00E141BA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E141BA" w:rsidRPr="00E141BA">
        <w:rPr>
          <w:rFonts w:ascii="Arial" w:hAnsi="Arial" w:cs="Arial"/>
          <w:b/>
          <w:sz w:val="24"/>
          <w:szCs w:val="24"/>
        </w:rPr>
        <w:t>Saša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41BA" w:rsidRPr="00E141BA">
        <w:rPr>
          <w:rFonts w:ascii="Arial" w:hAnsi="Arial" w:cs="Arial"/>
          <w:b/>
          <w:sz w:val="24"/>
          <w:szCs w:val="24"/>
        </w:rPr>
        <w:t>Šimun</w:t>
      </w:r>
      <w:proofErr w:type="spellEnd"/>
    </w:p>
    <w:sectPr w:rsidR="00687292" w:rsidRPr="00E141BA" w:rsidSect="00B3523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092" w:rsidRDefault="00504092" w:rsidP="00FC7B07">
      <w:pPr>
        <w:spacing w:after="0" w:line="240" w:lineRule="auto"/>
      </w:pPr>
      <w:r>
        <w:separator/>
      </w:r>
    </w:p>
  </w:endnote>
  <w:endnote w:type="continuationSeparator" w:id="0">
    <w:p w:rsidR="00504092" w:rsidRDefault="00504092" w:rsidP="00FC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0469"/>
      <w:docPartObj>
        <w:docPartGallery w:val="Page Numbers (Bottom of Page)"/>
        <w:docPartUnique/>
      </w:docPartObj>
    </w:sdtPr>
    <w:sdtEndPr/>
    <w:sdtContent>
      <w:p w:rsidR="00FC7B07" w:rsidRDefault="00504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B07" w:rsidRDefault="00FC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092" w:rsidRDefault="00504092" w:rsidP="00FC7B07">
      <w:pPr>
        <w:spacing w:after="0" w:line="240" w:lineRule="auto"/>
      </w:pPr>
      <w:r>
        <w:separator/>
      </w:r>
    </w:p>
  </w:footnote>
  <w:footnote w:type="continuationSeparator" w:id="0">
    <w:p w:rsidR="00504092" w:rsidRDefault="00504092" w:rsidP="00FC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127F"/>
    <w:multiLevelType w:val="hybridMultilevel"/>
    <w:tmpl w:val="61404EBA"/>
    <w:lvl w:ilvl="0" w:tplc="CBB8D4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56EE"/>
    <w:multiLevelType w:val="hybridMultilevel"/>
    <w:tmpl w:val="4CE211C2"/>
    <w:lvl w:ilvl="0" w:tplc="C6BCB2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BA"/>
    <w:rsid w:val="00012B91"/>
    <w:rsid w:val="00080E27"/>
    <w:rsid w:val="0008606F"/>
    <w:rsid w:val="000B4229"/>
    <w:rsid w:val="000E3C71"/>
    <w:rsid w:val="00166BDC"/>
    <w:rsid w:val="00175DC1"/>
    <w:rsid w:val="001B79A6"/>
    <w:rsid w:val="002760C3"/>
    <w:rsid w:val="002A5019"/>
    <w:rsid w:val="004314BA"/>
    <w:rsid w:val="00453026"/>
    <w:rsid w:val="004E798D"/>
    <w:rsid w:val="00504092"/>
    <w:rsid w:val="005F0EE2"/>
    <w:rsid w:val="00687292"/>
    <w:rsid w:val="00711E3B"/>
    <w:rsid w:val="00761745"/>
    <w:rsid w:val="00764FA1"/>
    <w:rsid w:val="00B35231"/>
    <w:rsid w:val="00C06631"/>
    <w:rsid w:val="00C81273"/>
    <w:rsid w:val="00CD4D30"/>
    <w:rsid w:val="00D360D1"/>
    <w:rsid w:val="00D851E4"/>
    <w:rsid w:val="00DF308A"/>
    <w:rsid w:val="00E141BA"/>
    <w:rsid w:val="00E3125F"/>
    <w:rsid w:val="00E73A85"/>
    <w:rsid w:val="00E763C0"/>
    <w:rsid w:val="00FC7B07"/>
    <w:rsid w:val="00FE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1075"/>
  <w15:docId w15:val="{6DDE76EB-53D9-4AAD-BBE5-D96C3D3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E141B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E14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B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Lenovo</cp:lastModifiedBy>
  <cp:revision>12</cp:revision>
  <dcterms:created xsi:type="dcterms:W3CDTF">2023-04-07T08:17:00Z</dcterms:created>
  <dcterms:modified xsi:type="dcterms:W3CDTF">2023-04-11T07:10:00Z</dcterms:modified>
</cp:coreProperties>
</file>